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D8" w:rsidRDefault="005840D8" w:rsidP="005840D8">
      <w:pPr>
        <w:rPr>
          <w:lang w:val="es-CL"/>
        </w:rPr>
      </w:pPr>
      <w:r>
        <w:rPr>
          <w:lang w:val="es-CL"/>
        </w:rPr>
        <w:t xml:space="preserve">Colegio San Andrés                                                             </w:t>
      </w:r>
      <w:r>
        <w:rPr>
          <w:noProof/>
          <w:lang w:val="es-MX" w:eastAsia="es-MX"/>
        </w:rPr>
        <w:drawing>
          <wp:inline distT="0" distB="0" distL="0" distR="0" wp14:anchorId="062E86AA" wp14:editId="41F0EA4B">
            <wp:extent cx="247650" cy="304800"/>
            <wp:effectExtent l="19050" t="0" r="0" b="0"/>
            <wp:docPr id="1" name="Imagen 1" descr="An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ndres"/>
                    <pic:cNvPicPr>
                      <a:picLocks noChangeAspect="1" noChangeArrowheads="1"/>
                    </pic:cNvPicPr>
                  </pic:nvPicPr>
                  <pic:blipFill>
                    <a:blip r:embed="rId8"/>
                    <a:srcRect/>
                    <a:stretch>
                      <a:fillRect/>
                    </a:stretch>
                  </pic:blipFill>
                  <pic:spPr>
                    <a:xfrm>
                      <a:off x="0" y="0"/>
                      <a:ext cx="247650" cy="304800"/>
                    </a:xfrm>
                    <a:prstGeom prst="rect">
                      <a:avLst/>
                    </a:prstGeom>
                    <a:noFill/>
                    <a:ln w="9525">
                      <a:noFill/>
                    </a:ln>
                  </pic:spPr>
                </pic:pic>
              </a:graphicData>
            </a:graphic>
          </wp:inline>
        </w:drawing>
      </w:r>
      <w:r>
        <w:rPr>
          <w:lang w:val="es-CL"/>
        </w:rPr>
        <w:t xml:space="preserve">                                                      “Educando para Crecer”</w:t>
      </w:r>
    </w:p>
    <w:tbl>
      <w:tblPr>
        <w:tblStyle w:val="Tablaconcuadrcula"/>
        <w:tblpPr w:leftFromText="180" w:rightFromText="180" w:vertAnchor="page" w:horzAnchor="margin" w:tblpY="1851"/>
        <w:tblW w:w="10485" w:type="dxa"/>
        <w:tblLook w:val="04A0" w:firstRow="1" w:lastRow="0" w:firstColumn="1" w:lastColumn="0" w:noHBand="0" w:noVBand="1"/>
      </w:tblPr>
      <w:tblGrid>
        <w:gridCol w:w="3652"/>
        <w:gridCol w:w="6833"/>
      </w:tblGrid>
      <w:tr w:rsidR="005840D8" w:rsidRPr="00491DC8" w:rsidTr="002C111E">
        <w:tc>
          <w:tcPr>
            <w:tcW w:w="3652" w:type="dxa"/>
          </w:tcPr>
          <w:p w:rsidR="005840D8" w:rsidRPr="0087794D" w:rsidRDefault="005840D8" w:rsidP="002C111E">
            <w:pPr>
              <w:rPr>
                <w:rFonts w:ascii="Century Gothic" w:hAnsi="Century Gothic"/>
                <w:b/>
                <w:sz w:val="24"/>
                <w:szCs w:val="24"/>
                <w:lang w:val="es-CL"/>
              </w:rPr>
            </w:pPr>
            <w:r w:rsidRPr="0087794D">
              <w:rPr>
                <w:rFonts w:ascii="Century Gothic" w:hAnsi="Century Gothic"/>
                <w:b/>
                <w:sz w:val="24"/>
                <w:szCs w:val="24"/>
                <w:lang w:val="es-CL"/>
              </w:rPr>
              <w:t>Nombre Profesor</w:t>
            </w:r>
          </w:p>
        </w:tc>
        <w:tc>
          <w:tcPr>
            <w:tcW w:w="6833" w:type="dxa"/>
          </w:tcPr>
          <w:p w:rsidR="005840D8" w:rsidRPr="0087794D" w:rsidRDefault="009C0628" w:rsidP="002C111E">
            <w:pPr>
              <w:rPr>
                <w:rFonts w:ascii="Century Gothic" w:hAnsi="Century Gothic"/>
                <w:sz w:val="24"/>
                <w:szCs w:val="24"/>
                <w:lang w:val="es-CL"/>
              </w:rPr>
            </w:pPr>
            <w:proofErr w:type="spellStart"/>
            <w:r>
              <w:rPr>
                <w:rFonts w:ascii="Century Gothic" w:hAnsi="Century Gothic"/>
                <w:sz w:val="24"/>
                <w:szCs w:val="24"/>
                <w:lang w:val="es-CL"/>
              </w:rPr>
              <w:t>Ursula</w:t>
            </w:r>
            <w:proofErr w:type="spellEnd"/>
            <w:r>
              <w:rPr>
                <w:rFonts w:ascii="Century Gothic" w:hAnsi="Century Gothic"/>
                <w:sz w:val="24"/>
                <w:szCs w:val="24"/>
                <w:lang w:val="es-CL"/>
              </w:rPr>
              <w:t xml:space="preserve"> Vera Marambio</w:t>
            </w:r>
          </w:p>
        </w:tc>
      </w:tr>
      <w:tr w:rsidR="005840D8" w:rsidRPr="00861771" w:rsidTr="002C111E">
        <w:tc>
          <w:tcPr>
            <w:tcW w:w="3652" w:type="dxa"/>
          </w:tcPr>
          <w:p w:rsidR="005840D8" w:rsidRPr="0087794D" w:rsidRDefault="005840D8" w:rsidP="002C111E">
            <w:pPr>
              <w:rPr>
                <w:rFonts w:ascii="Century Gothic" w:hAnsi="Century Gothic"/>
                <w:b/>
                <w:sz w:val="24"/>
                <w:szCs w:val="24"/>
                <w:lang w:val="es-CL"/>
              </w:rPr>
            </w:pPr>
            <w:r w:rsidRPr="0087794D">
              <w:rPr>
                <w:rFonts w:ascii="Century Gothic" w:hAnsi="Century Gothic"/>
                <w:b/>
                <w:sz w:val="24"/>
                <w:szCs w:val="24"/>
                <w:lang w:val="es-CL"/>
              </w:rPr>
              <w:t>Curso</w:t>
            </w:r>
          </w:p>
        </w:tc>
        <w:tc>
          <w:tcPr>
            <w:tcW w:w="6833" w:type="dxa"/>
          </w:tcPr>
          <w:p w:rsidR="005840D8" w:rsidRPr="0087794D" w:rsidRDefault="007D3D4B" w:rsidP="002C111E">
            <w:pPr>
              <w:rPr>
                <w:rFonts w:ascii="Century Gothic" w:hAnsi="Century Gothic"/>
                <w:sz w:val="24"/>
                <w:szCs w:val="24"/>
              </w:rPr>
            </w:pPr>
            <w:r>
              <w:rPr>
                <w:rFonts w:ascii="Century Gothic" w:hAnsi="Century Gothic"/>
                <w:sz w:val="24"/>
                <w:szCs w:val="24"/>
              </w:rPr>
              <w:t>6</w:t>
            </w:r>
            <w:r w:rsidR="004F079D">
              <w:rPr>
                <w:rFonts w:ascii="Century Gothic" w:hAnsi="Century Gothic"/>
                <w:sz w:val="24"/>
                <w:szCs w:val="24"/>
              </w:rPr>
              <w:t xml:space="preserve"> </w:t>
            </w:r>
            <w:proofErr w:type="spellStart"/>
            <w:r w:rsidR="004F079D">
              <w:rPr>
                <w:rFonts w:ascii="Century Gothic" w:hAnsi="Century Gothic"/>
                <w:sz w:val="24"/>
                <w:szCs w:val="24"/>
              </w:rPr>
              <w:t>año</w:t>
            </w:r>
            <w:r>
              <w:rPr>
                <w:rFonts w:ascii="Century Gothic" w:hAnsi="Century Gothic"/>
                <w:sz w:val="24"/>
                <w:szCs w:val="24"/>
              </w:rPr>
              <w:t>s</w:t>
            </w:r>
            <w:proofErr w:type="spellEnd"/>
            <w:r>
              <w:rPr>
                <w:rFonts w:ascii="Century Gothic" w:hAnsi="Century Gothic"/>
                <w:sz w:val="24"/>
                <w:szCs w:val="24"/>
              </w:rPr>
              <w:t xml:space="preserve"> A y</w:t>
            </w:r>
            <w:bookmarkStart w:id="0" w:name="_GoBack"/>
            <w:bookmarkEnd w:id="0"/>
            <w:r w:rsidR="004F079D">
              <w:rPr>
                <w:rFonts w:ascii="Century Gothic" w:hAnsi="Century Gothic"/>
                <w:sz w:val="24"/>
                <w:szCs w:val="24"/>
              </w:rPr>
              <w:t xml:space="preserve"> </w:t>
            </w:r>
            <w:r w:rsidR="005E547E">
              <w:rPr>
                <w:rFonts w:ascii="Century Gothic" w:hAnsi="Century Gothic"/>
                <w:sz w:val="24"/>
                <w:szCs w:val="24"/>
              </w:rPr>
              <w:t xml:space="preserve"> B</w:t>
            </w:r>
          </w:p>
        </w:tc>
      </w:tr>
      <w:tr w:rsidR="005840D8" w:rsidRPr="005840D8" w:rsidTr="002C111E">
        <w:tc>
          <w:tcPr>
            <w:tcW w:w="3652" w:type="dxa"/>
          </w:tcPr>
          <w:p w:rsidR="005840D8" w:rsidRPr="0087794D" w:rsidRDefault="005840D8" w:rsidP="002C111E">
            <w:pPr>
              <w:rPr>
                <w:rFonts w:ascii="Century Gothic" w:hAnsi="Century Gothic"/>
                <w:b/>
                <w:sz w:val="24"/>
                <w:szCs w:val="24"/>
                <w:lang w:val="es-CL"/>
              </w:rPr>
            </w:pPr>
            <w:r w:rsidRPr="0087794D">
              <w:rPr>
                <w:rFonts w:ascii="Century Gothic" w:hAnsi="Century Gothic"/>
                <w:b/>
                <w:sz w:val="24"/>
                <w:szCs w:val="24"/>
                <w:lang w:val="es-CL"/>
              </w:rPr>
              <w:t xml:space="preserve">Asignatura </w:t>
            </w:r>
          </w:p>
        </w:tc>
        <w:tc>
          <w:tcPr>
            <w:tcW w:w="6833" w:type="dxa"/>
          </w:tcPr>
          <w:p w:rsidR="005840D8" w:rsidRPr="0087794D" w:rsidRDefault="00AF4258" w:rsidP="002C111E">
            <w:pPr>
              <w:rPr>
                <w:rFonts w:ascii="Century Gothic" w:hAnsi="Century Gothic"/>
                <w:sz w:val="24"/>
                <w:szCs w:val="24"/>
                <w:lang w:val="es-CL"/>
              </w:rPr>
            </w:pPr>
            <w:r>
              <w:rPr>
                <w:rFonts w:ascii="Century Gothic" w:hAnsi="Century Gothic"/>
                <w:sz w:val="24"/>
                <w:szCs w:val="24"/>
                <w:lang w:val="es-CL"/>
              </w:rPr>
              <w:t>Lenguaje y Comunicación</w:t>
            </w:r>
          </w:p>
        </w:tc>
      </w:tr>
      <w:tr w:rsidR="005840D8" w:rsidRPr="00491DC8" w:rsidTr="002C111E">
        <w:trPr>
          <w:trHeight w:val="1204"/>
        </w:trPr>
        <w:tc>
          <w:tcPr>
            <w:tcW w:w="3652" w:type="dxa"/>
          </w:tcPr>
          <w:p w:rsidR="005840D8" w:rsidRDefault="005840D8" w:rsidP="002C111E">
            <w:pPr>
              <w:rPr>
                <w:rFonts w:ascii="Century Gothic" w:hAnsi="Century Gothic"/>
                <w:b/>
                <w:sz w:val="24"/>
                <w:szCs w:val="24"/>
                <w:lang w:val="es-CL"/>
              </w:rPr>
            </w:pPr>
            <w:r w:rsidRPr="0087794D">
              <w:rPr>
                <w:rFonts w:ascii="Century Gothic" w:hAnsi="Century Gothic"/>
                <w:b/>
                <w:sz w:val="24"/>
                <w:szCs w:val="24"/>
                <w:lang w:val="es-CL"/>
              </w:rPr>
              <w:t>Evaluación (nombre de la unidad o tema a evaluar)</w:t>
            </w:r>
            <w:r>
              <w:rPr>
                <w:rFonts w:ascii="Century Gothic" w:hAnsi="Century Gothic"/>
                <w:b/>
                <w:sz w:val="24"/>
                <w:szCs w:val="24"/>
                <w:lang w:val="es-CL"/>
              </w:rPr>
              <w:t>.</w:t>
            </w:r>
          </w:p>
          <w:p w:rsidR="005840D8" w:rsidRPr="00DA1BF7" w:rsidRDefault="005840D8" w:rsidP="002C111E">
            <w:pPr>
              <w:rPr>
                <w:rFonts w:ascii="Century Gothic" w:hAnsi="Century Gothic"/>
                <w:sz w:val="24"/>
                <w:szCs w:val="24"/>
                <w:lang w:val="es-CL"/>
              </w:rPr>
            </w:pPr>
          </w:p>
        </w:tc>
        <w:tc>
          <w:tcPr>
            <w:tcW w:w="6833" w:type="dxa"/>
          </w:tcPr>
          <w:p w:rsidR="00491DC8" w:rsidRDefault="00AF4258" w:rsidP="002C111E">
            <w:pPr>
              <w:jc w:val="both"/>
              <w:rPr>
                <w:rFonts w:ascii="Century Gothic" w:eastAsia="MS Mincho" w:hAnsi="Century Gothic" w:cs="Arial"/>
                <w:b/>
                <w:bCs/>
                <w:sz w:val="24"/>
                <w:szCs w:val="24"/>
                <w:lang w:val="es-CL" w:eastAsia="ja-JP"/>
              </w:rPr>
            </w:pPr>
            <w:r>
              <w:rPr>
                <w:rFonts w:ascii="Century Gothic" w:eastAsia="MS Mincho" w:hAnsi="Century Gothic" w:cs="Arial"/>
                <w:b/>
                <w:bCs/>
                <w:sz w:val="24"/>
                <w:szCs w:val="24"/>
                <w:lang w:val="es-CL" w:eastAsia="ja-JP"/>
              </w:rPr>
              <w:t>Unidad 4</w:t>
            </w:r>
          </w:p>
          <w:p w:rsidR="00AF4258" w:rsidRPr="0087794D" w:rsidRDefault="00AF4258" w:rsidP="002C111E">
            <w:pPr>
              <w:jc w:val="both"/>
              <w:rPr>
                <w:rFonts w:ascii="Century Gothic" w:eastAsia="MS Mincho" w:hAnsi="Century Gothic" w:cs="Arial"/>
                <w:b/>
                <w:bCs/>
                <w:sz w:val="24"/>
                <w:szCs w:val="24"/>
                <w:lang w:val="es-CL" w:eastAsia="ja-JP"/>
              </w:rPr>
            </w:pPr>
            <w:r>
              <w:rPr>
                <w:rFonts w:ascii="Century Gothic" w:eastAsia="MS Mincho" w:hAnsi="Century Gothic" w:cs="Arial"/>
                <w:b/>
                <w:bCs/>
                <w:sz w:val="24"/>
                <w:szCs w:val="24"/>
                <w:lang w:val="es-CL" w:eastAsia="ja-JP"/>
              </w:rPr>
              <w:t>¿Cómo nos comunicamos?</w:t>
            </w:r>
          </w:p>
        </w:tc>
      </w:tr>
      <w:tr w:rsidR="005840D8" w:rsidRPr="00861771" w:rsidTr="002C111E">
        <w:tc>
          <w:tcPr>
            <w:tcW w:w="3652" w:type="dxa"/>
          </w:tcPr>
          <w:p w:rsidR="005840D8" w:rsidRPr="0087794D" w:rsidRDefault="005840D8" w:rsidP="002C111E">
            <w:pPr>
              <w:rPr>
                <w:rFonts w:ascii="Century Gothic" w:hAnsi="Century Gothic"/>
                <w:b/>
                <w:sz w:val="24"/>
                <w:szCs w:val="24"/>
                <w:lang w:val="es-CL"/>
              </w:rPr>
            </w:pPr>
            <w:r w:rsidRPr="0087794D">
              <w:rPr>
                <w:rFonts w:ascii="Century Gothic" w:hAnsi="Century Gothic"/>
                <w:b/>
                <w:sz w:val="24"/>
                <w:szCs w:val="24"/>
                <w:lang w:val="es-CL"/>
              </w:rPr>
              <w:t>Fecha de la evaluación</w:t>
            </w:r>
          </w:p>
        </w:tc>
        <w:tc>
          <w:tcPr>
            <w:tcW w:w="6833" w:type="dxa"/>
          </w:tcPr>
          <w:p w:rsidR="005840D8" w:rsidRPr="0087794D" w:rsidRDefault="00AF4258" w:rsidP="009C0628">
            <w:pPr>
              <w:jc w:val="center"/>
              <w:rPr>
                <w:rFonts w:ascii="Century Gothic" w:hAnsi="Century Gothic"/>
                <w:b/>
                <w:sz w:val="24"/>
                <w:szCs w:val="24"/>
                <w:lang w:val="es-MX"/>
              </w:rPr>
            </w:pPr>
            <w:r>
              <w:rPr>
                <w:rFonts w:ascii="Century Gothic" w:hAnsi="Century Gothic"/>
                <w:b/>
                <w:sz w:val="24"/>
                <w:szCs w:val="24"/>
                <w:lang w:val="es-MX"/>
              </w:rPr>
              <w:t>11</w:t>
            </w:r>
            <w:r w:rsidR="0080374A">
              <w:rPr>
                <w:rFonts w:ascii="Century Gothic" w:hAnsi="Century Gothic"/>
                <w:b/>
                <w:sz w:val="24"/>
                <w:szCs w:val="24"/>
                <w:lang w:val="es-MX"/>
              </w:rPr>
              <w:t>/11/2024</w:t>
            </w:r>
          </w:p>
        </w:tc>
      </w:tr>
      <w:tr w:rsidR="005840D8" w:rsidRPr="00491DC8" w:rsidTr="002C111E">
        <w:trPr>
          <w:trHeight w:val="4001"/>
        </w:trPr>
        <w:tc>
          <w:tcPr>
            <w:tcW w:w="3652" w:type="dxa"/>
          </w:tcPr>
          <w:p w:rsidR="005840D8" w:rsidRPr="0087794D" w:rsidRDefault="005840D8" w:rsidP="002C111E">
            <w:pPr>
              <w:rPr>
                <w:rFonts w:ascii="Century Gothic" w:hAnsi="Century Gothic"/>
                <w:b/>
                <w:sz w:val="24"/>
                <w:szCs w:val="24"/>
                <w:lang w:val="es-CL"/>
              </w:rPr>
            </w:pPr>
          </w:p>
          <w:p w:rsidR="005840D8" w:rsidRPr="0087794D" w:rsidRDefault="005840D8" w:rsidP="002C111E">
            <w:pPr>
              <w:rPr>
                <w:rFonts w:ascii="Century Gothic" w:hAnsi="Century Gothic"/>
                <w:b/>
                <w:sz w:val="24"/>
                <w:szCs w:val="24"/>
                <w:lang w:val="es-CL"/>
              </w:rPr>
            </w:pPr>
            <w:r w:rsidRPr="0087794D">
              <w:rPr>
                <w:rFonts w:ascii="Century Gothic" w:hAnsi="Century Gothic"/>
                <w:b/>
                <w:sz w:val="24"/>
                <w:szCs w:val="24"/>
                <w:lang w:val="es-CL"/>
              </w:rPr>
              <w:t>Contenidos y Habilidades a evaluar</w:t>
            </w:r>
          </w:p>
          <w:p w:rsidR="005840D8" w:rsidRPr="0087794D" w:rsidRDefault="005840D8" w:rsidP="002C111E">
            <w:pPr>
              <w:rPr>
                <w:rFonts w:ascii="Century Gothic" w:hAnsi="Century Gothic"/>
                <w:sz w:val="24"/>
                <w:szCs w:val="24"/>
                <w:lang w:val="es-CL"/>
              </w:rPr>
            </w:pPr>
          </w:p>
          <w:p w:rsidR="005840D8" w:rsidRPr="0087794D" w:rsidRDefault="005840D8" w:rsidP="002C111E">
            <w:pPr>
              <w:rPr>
                <w:rFonts w:ascii="Century Gothic" w:hAnsi="Century Gothic"/>
                <w:sz w:val="24"/>
                <w:szCs w:val="24"/>
                <w:lang w:val="es-CL"/>
              </w:rPr>
            </w:pPr>
          </w:p>
          <w:p w:rsidR="005840D8" w:rsidRPr="0087794D" w:rsidRDefault="005840D8" w:rsidP="002C111E">
            <w:pPr>
              <w:rPr>
                <w:rFonts w:ascii="Century Gothic" w:hAnsi="Century Gothic"/>
                <w:sz w:val="24"/>
                <w:szCs w:val="24"/>
                <w:lang w:val="es-CL"/>
              </w:rPr>
            </w:pPr>
          </w:p>
        </w:tc>
        <w:tc>
          <w:tcPr>
            <w:tcW w:w="6833" w:type="dxa"/>
          </w:tcPr>
          <w:p w:rsidR="00AF4258" w:rsidRPr="00AF4258" w:rsidRDefault="00AF4258" w:rsidP="00AF4258">
            <w:pPr>
              <w:widowControl w:val="0"/>
              <w:autoSpaceDE w:val="0"/>
              <w:autoSpaceDN w:val="0"/>
              <w:jc w:val="both"/>
              <w:rPr>
                <w:rFonts w:ascii="Calibri Light" w:eastAsia="Calibri Light" w:hAnsi="Calibri Light" w:cs="Calibri Light"/>
                <w:b/>
                <w:sz w:val="24"/>
                <w:szCs w:val="24"/>
                <w:lang w:val="es-ES"/>
              </w:rPr>
            </w:pPr>
            <w:r w:rsidRPr="00AF4258">
              <w:rPr>
                <w:rFonts w:ascii="Calibri Light" w:eastAsia="Calibri Light" w:hAnsi="Calibri Light" w:cs="Calibri Light"/>
                <w:b/>
                <w:sz w:val="24"/>
                <w:szCs w:val="24"/>
                <w:lang w:val="es-ES"/>
              </w:rPr>
              <w:t xml:space="preserve">Leer independientemente y comprender textos no literarios (cartas, </w:t>
            </w:r>
            <w:r w:rsidRPr="00AF4258">
              <w:rPr>
                <w:rFonts w:ascii="Calibri Light" w:eastAsia="Calibri Light" w:hAnsi="Calibri Light" w:cs="Calibri Light"/>
                <w:b/>
                <w:sz w:val="24"/>
                <w:szCs w:val="24"/>
                <w:u w:val="single"/>
                <w:lang w:val="es-ES"/>
              </w:rPr>
              <w:t>biografías</w:t>
            </w:r>
            <w:r w:rsidRPr="00AF4258">
              <w:rPr>
                <w:rFonts w:ascii="Calibri Light" w:eastAsia="Calibri Light" w:hAnsi="Calibri Light" w:cs="Calibri Light"/>
                <w:b/>
                <w:sz w:val="24"/>
                <w:szCs w:val="24"/>
                <w:lang w:val="es-ES"/>
              </w:rPr>
              <w:t xml:space="preserve">, relatos históricos, libros y artículos informativos, </w:t>
            </w:r>
            <w:r w:rsidRPr="00AF4258">
              <w:rPr>
                <w:rFonts w:ascii="Calibri Light" w:eastAsia="Calibri Light" w:hAnsi="Calibri Light" w:cs="Calibri Light"/>
                <w:b/>
                <w:sz w:val="24"/>
                <w:szCs w:val="24"/>
                <w:u w:val="single"/>
                <w:lang w:val="es-ES"/>
              </w:rPr>
              <w:t>noticias</w:t>
            </w:r>
            <w:r w:rsidRPr="00AF4258">
              <w:rPr>
                <w:rFonts w:ascii="Calibri Light" w:eastAsia="Calibri Light" w:hAnsi="Calibri Light" w:cs="Calibri Light"/>
                <w:b/>
                <w:sz w:val="24"/>
                <w:szCs w:val="24"/>
                <w:lang w:val="es-ES"/>
              </w:rPr>
              <w:t xml:space="preserve">, etc.) para ampliar su conocimiento del mundo y formarse una opinión:  extrayendo información explícita e implícita  haciendo inferencias a partir de la información del texto y de sus experiencias y conocimientos  relacionando la información de imágenes, gráficos, tablas, mapas o diagramas, con el texto en el cual están insertos  interpretando expresiones en lenguaje figurado  comparando información entre dos textos del mismo tema  formulando una opinión sobre algún aspecto de la lectura  fundamentando su opinión con información del texto o sus conocimientos </w:t>
            </w:r>
          </w:p>
          <w:p w:rsidR="00B623C1" w:rsidRDefault="00AF4258" w:rsidP="00AF4258">
            <w:pPr>
              <w:widowControl w:val="0"/>
              <w:autoSpaceDE w:val="0"/>
              <w:autoSpaceDN w:val="0"/>
              <w:jc w:val="both"/>
              <w:rPr>
                <w:rFonts w:ascii="Calibri Light" w:eastAsia="Calibri Light" w:hAnsi="Calibri Light" w:cs="Calibri Light"/>
                <w:b/>
                <w:sz w:val="24"/>
                <w:szCs w:val="24"/>
                <w:lang w:val="es-ES"/>
              </w:rPr>
            </w:pPr>
            <w:r w:rsidRPr="00AF4258">
              <w:rPr>
                <w:rFonts w:ascii="Calibri Light" w:eastAsia="Calibri Light" w:hAnsi="Calibri Light" w:cs="Calibri Light"/>
                <w:b/>
                <w:sz w:val="24"/>
                <w:szCs w:val="24"/>
                <w:lang w:val="es-ES"/>
              </w:rPr>
              <w:t xml:space="preserve"> previos.</w:t>
            </w:r>
          </w:p>
          <w:p w:rsidR="00AF4258" w:rsidRDefault="00AF4258" w:rsidP="00AF4258">
            <w:pPr>
              <w:widowControl w:val="0"/>
              <w:autoSpaceDE w:val="0"/>
              <w:autoSpaceDN w:val="0"/>
              <w:jc w:val="both"/>
              <w:rPr>
                <w:rFonts w:ascii="Calibri Light" w:eastAsia="Calibri Light" w:hAnsi="Calibri Light" w:cs="Calibri Light"/>
                <w:b/>
                <w:sz w:val="24"/>
                <w:szCs w:val="24"/>
                <w:lang w:val="es-ES"/>
              </w:rPr>
            </w:pPr>
          </w:p>
          <w:p w:rsidR="00AF4258" w:rsidRPr="00AF4258" w:rsidRDefault="00AF4258" w:rsidP="00AF4258">
            <w:pPr>
              <w:widowControl w:val="0"/>
              <w:autoSpaceDE w:val="0"/>
              <w:autoSpaceDN w:val="0"/>
              <w:jc w:val="both"/>
              <w:rPr>
                <w:rFonts w:ascii="Calibri Light" w:eastAsia="Calibri Light" w:hAnsi="Calibri Light" w:cs="Calibri Light"/>
                <w:b/>
                <w:sz w:val="24"/>
                <w:szCs w:val="24"/>
                <w:lang w:val="es-ES"/>
              </w:rPr>
            </w:pPr>
            <w:r>
              <w:rPr>
                <w:rFonts w:ascii="Calibri Light" w:eastAsia="Calibri Light" w:hAnsi="Calibri Light" w:cs="Calibri Light"/>
                <w:b/>
                <w:sz w:val="24"/>
                <w:szCs w:val="24"/>
                <w:lang w:val="es-ES"/>
              </w:rPr>
              <w:t xml:space="preserve"> Cuento y su estructura</w:t>
            </w:r>
          </w:p>
        </w:tc>
      </w:tr>
      <w:tr w:rsidR="005840D8" w:rsidRPr="00861771" w:rsidTr="002C111E">
        <w:trPr>
          <w:trHeight w:val="649"/>
        </w:trPr>
        <w:tc>
          <w:tcPr>
            <w:tcW w:w="3652" w:type="dxa"/>
          </w:tcPr>
          <w:p w:rsidR="005840D8" w:rsidRPr="0087794D" w:rsidRDefault="005840D8" w:rsidP="002C111E">
            <w:pPr>
              <w:rPr>
                <w:rFonts w:ascii="Century Gothic" w:hAnsi="Century Gothic"/>
                <w:b/>
                <w:sz w:val="24"/>
                <w:szCs w:val="24"/>
                <w:lang w:val="es-CL"/>
              </w:rPr>
            </w:pPr>
            <w:r w:rsidRPr="0087794D">
              <w:rPr>
                <w:rFonts w:ascii="Century Gothic" w:hAnsi="Century Gothic"/>
                <w:b/>
                <w:sz w:val="24"/>
                <w:szCs w:val="24"/>
                <w:lang w:val="es-CL"/>
              </w:rPr>
              <w:t>Tipo de instrumento de evaluación</w:t>
            </w:r>
          </w:p>
        </w:tc>
        <w:tc>
          <w:tcPr>
            <w:tcW w:w="6833" w:type="dxa"/>
          </w:tcPr>
          <w:p w:rsidR="005840D8" w:rsidRPr="00DA1BF7" w:rsidRDefault="009C0628" w:rsidP="002C111E">
            <w:pPr>
              <w:rPr>
                <w:rFonts w:ascii="Century Gothic" w:hAnsi="Century Gothic"/>
                <w:sz w:val="24"/>
                <w:szCs w:val="24"/>
                <w:lang w:val="es-CL"/>
              </w:rPr>
            </w:pPr>
            <w:r>
              <w:rPr>
                <w:rFonts w:ascii="Century Gothic" w:hAnsi="Century Gothic"/>
                <w:sz w:val="24"/>
                <w:szCs w:val="24"/>
                <w:lang w:val="es-CL"/>
              </w:rPr>
              <w:t>Evaluación de selección múltiple</w:t>
            </w:r>
          </w:p>
        </w:tc>
      </w:tr>
      <w:tr w:rsidR="005840D8" w:rsidRPr="00491DC8" w:rsidTr="002C111E">
        <w:tc>
          <w:tcPr>
            <w:tcW w:w="3652" w:type="dxa"/>
          </w:tcPr>
          <w:p w:rsidR="005840D8" w:rsidRPr="0087794D" w:rsidRDefault="005840D8" w:rsidP="002C111E">
            <w:pPr>
              <w:rPr>
                <w:rFonts w:ascii="Century Gothic" w:hAnsi="Century Gothic"/>
                <w:b/>
                <w:sz w:val="24"/>
                <w:szCs w:val="24"/>
                <w:lang w:val="es-CL"/>
              </w:rPr>
            </w:pPr>
            <w:r w:rsidRPr="0087794D">
              <w:rPr>
                <w:rFonts w:ascii="Century Gothic" w:hAnsi="Century Gothic"/>
                <w:b/>
                <w:sz w:val="24"/>
                <w:szCs w:val="24"/>
                <w:lang w:val="es-CL"/>
              </w:rPr>
              <w:t>Valor porcentual de la pr</w:t>
            </w:r>
            <w:r>
              <w:rPr>
                <w:rFonts w:ascii="Century Gothic" w:hAnsi="Century Gothic"/>
                <w:b/>
                <w:sz w:val="24"/>
                <w:szCs w:val="24"/>
                <w:lang w:val="es-CL"/>
              </w:rPr>
              <w:t>ueba.</w:t>
            </w:r>
          </w:p>
        </w:tc>
        <w:tc>
          <w:tcPr>
            <w:tcW w:w="6833" w:type="dxa"/>
          </w:tcPr>
          <w:p w:rsidR="005840D8" w:rsidRPr="0087794D" w:rsidRDefault="00491DC8" w:rsidP="005840D8">
            <w:pPr>
              <w:pStyle w:val="Prrafodelista"/>
              <w:numPr>
                <w:ilvl w:val="0"/>
                <w:numId w:val="1"/>
              </w:numPr>
              <w:rPr>
                <w:rFonts w:ascii="Century Gothic" w:hAnsi="Century Gothic"/>
                <w:sz w:val="24"/>
                <w:szCs w:val="24"/>
                <w:lang w:val="es-CL"/>
              </w:rPr>
            </w:pPr>
            <w:r>
              <w:rPr>
                <w:rFonts w:ascii="Century Gothic" w:hAnsi="Century Gothic"/>
                <w:sz w:val="24"/>
                <w:szCs w:val="24"/>
                <w:lang w:val="es-CL"/>
              </w:rPr>
              <w:t>20</w:t>
            </w:r>
            <w:r w:rsidR="005840D8" w:rsidRPr="0087794D">
              <w:rPr>
                <w:rFonts w:ascii="Century Gothic" w:hAnsi="Century Gothic"/>
                <w:sz w:val="24"/>
                <w:szCs w:val="24"/>
                <w:lang w:val="es-CL"/>
              </w:rPr>
              <w:t>% de la nota del semestre.</w:t>
            </w:r>
          </w:p>
        </w:tc>
      </w:tr>
    </w:tbl>
    <w:p w:rsidR="00BD0BB8" w:rsidRDefault="009C0628" w:rsidP="005840D8">
      <w:pPr>
        <w:jc w:val="center"/>
      </w:pPr>
      <w:r>
        <w:rPr>
          <w:rFonts w:ascii="Century Gothic" w:eastAsia="MS Mincho" w:hAnsi="Century Gothic" w:cs="Arial"/>
          <w:b/>
          <w:bCs/>
          <w:sz w:val="20"/>
          <w:szCs w:val="20"/>
          <w:lang w:val="es-CL" w:eastAsia="ja-JP"/>
        </w:rPr>
        <w:t>EVALUACIÓN SOLEMNE N°1</w:t>
      </w:r>
    </w:p>
    <w:sectPr w:rsidR="00BD0BB8" w:rsidSect="005840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0B" w:rsidRDefault="005C040B" w:rsidP="005840D8">
      <w:pPr>
        <w:spacing w:after="0" w:line="240" w:lineRule="auto"/>
      </w:pPr>
      <w:r>
        <w:separator/>
      </w:r>
    </w:p>
  </w:endnote>
  <w:endnote w:type="continuationSeparator" w:id="0">
    <w:p w:rsidR="005C040B" w:rsidRDefault="005C040B" w:rsidP="0058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D8" w:rsidRDefault="005840D8">
    <w:pPr>
      <w:pStyle w:val="Piedepgina"/>
    </w:pPr>
  </w:p>
  <w:p w:rsidR="005840D8" w:rsidRDefault="005840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0B" w:rsidRDefault="005C040B" w:rsidP="005840D8">
      <w:pPr>
        <w:spacing w:after="0" w:line="240" w:lineRule="auto"/>
      </w:pPr>
      <w:r>
        <w:separator/>
      </w:r>
    </w:p>
  </w:footnote>
  <w:footnote w:type="continuationSeparator" w:id="0">
    <w:p w:rsidR="005C040B" w:rsidRDefault="005C040B" w:rsidP="00584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50ABC"/>
    <w:multiLevelType w:val="hybridMultilevel"/>
    <w:tmpl w:val="87460C8E"/>
    <w:lvl w:ilvl="0" w:tplc="29D639EC">
      <w:start w:val="5"/>
      <w:numFmt w:val="bullet"/>
      <w:lvlText w:val="-"/>
      <w:lvlJc w:val="left"/>
      <w:pPr>
        <w:ind w:left="720" w:hanging="360"/>
      </w:pPr>
      <w:rPr>
        <w:rFonts w:ascii="Arial" w:eastAsia="Calibri"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645AB"/>
    <w:multiLevelType w:val="hybridMultilevel"/>
    <w:tmpl w:val="82022084"/>
    <w:lvl w:ilvl="0" w:tplc="04090001">
      <w:start w:val="1"/>
      <w:numFmt w:val="bullet"/>
      <w:lvlText w:val=""/>
      <w:lvlJc w:val="left"/>
      <w:pPr>
        <w:ind w:left="409" w:hanging="360"/>
      </w:pPr>
      <w:rPr>
        <w:rFonts w:ascii="Symbol" w:hAnsi="Symbol" w:hint="default"/>
      </w:rPr>
    </w:lvl>
    <w:lvl w:ilvl="1" w:tplc="04090003">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D8"/>
    <w:rsid w:val="00133761"/>
    <w:rsid w:val="002C68D3"/>
    <w:rsid w:val="0038104D"/>
    <w:rsid w:val="003A7C67"/>
    <w:rsid w:val="00462E92"/>
    <w:rsid w:val="00491DC8"/>
    <w:rsid w:val="004F079D"/>
    <w:rsid w:val="005840D8"/>
    <w:rsid w:val="00591DF9"/>
    <w:rsid w:val="005C040B"/>
    <w:rsid w:val="005E547E"/>
    <w:rsid w:val="00645FAF"/>
    <w:rsid w:val="007D3D4B"/>
    <w:rsid w:val="0080374A"/>
    <w:rsid w:val="008941D5"/>
    <w:rsid w:val="009C0628"/>
    <w:rsid w:val="00A434B0"/>
    <w:rsid w:val="00AD3CBE"/>
    <w:rsid w:val="00AF4258"/>
    <w:rsid w:val="00B623C1"/>
    <w:rsid w:val="00BD0BB8"/>
    <w:rsid w:val="00BE17FC"/>
    <w:rsid w:val="00D35A47"/>
    <w:rsid w:val="00DD48C1"/>
    <w:rsid w:val="00E95335"/>
    <w:rsid w:val="00F2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FB91"/>
  <w15:chartTrackingRefBased/>
  <w15:docId w15:val="{BA35C236-F053-4F88-9F5B-9962379B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0D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5840D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5840D8"/>
    <w:pPr>
      <w:ind w:left="720"/>
      <w:contextualSpacing/>
    </w:pPr>
  </w:style>
  <w:style w:type="paragraph" w:styleId="Textonotapie">
    <w:name w:val="footnote text"/>
    <w:basedOn w:val="Normal"/>
    <w:link w:val="TextonotapieCar"/>
    <w:uiPriority w:val="99"/>
    <w:semiHidden/>
    <w:unhideWhenUsed/>
    <w:rsid w:val="005840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40D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840D8"/>
    <w:rPr>
      <w:vertAlign w:val="superscript"/>
    </w:rPr>
  </w:style>
  <w:style w:type="paragraph" w:styleId="Encabezado">
    <w:name w:val="header"/>
    <w:basedOn w:val="Normal"/>
    <w:link w:val="EncabezadoCar"/>
    <w:uiPriority w:val="99"/>
    <w:unhideWhenUsed/>
    <w:rsid w:val="005840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0D8"/>
    <w:rPr>
      <w:rFonts w:ascii="Calibri" w:eastAsia="Calibri" w:hAnsi="Calibri" w:cs="Times New Roman"/>
    </w:rPr>
  </w:style>
  <w:style w:type="paragraph" w:styleId="Piedepgina">
    <w:name w:val="footer"/>
    <w:basedOn w:val="Normal"/>
    <w:link w:val="PiedepginaCar"/>
    <w:uiPriority w:val="99"/>
    <w:unhideWhenUsed/>
    <w:rsid w:val="005840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0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B62E0426-3B5D-4F27-90C2-BBAB6017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56995797351</dc:creator>
  <cp:keywords/>
  <dc:description/>
  <cp:lastModifiedBy>SanAndres01</cp:lastModifiedBy>
  <cp:revision>4</cp:revision>
  <dcterms:created xsi:type="dcterms:W3CDTF">2024-11-07T14:39:00Z</dcterms:created>
  <dcterms:modified xsi:type="dcterms:W3CDTF">2024-11-07T14:45:00Z</dcterms:modified>
</cp:coreProperties>
</file>